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 xml:space="preserve">Информационный документ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Структурная облигация российского эмитента</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структурной облигации российского эмитента.</w:t>
      </w:r>
    </w:p>
    <w:p w:rsidR="008F6926" w:rsidRDefault="008F6926" w:rsidP="008F692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8F6926" w:rsidRDefault="008F6926" w:rsidP="008F692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Вы можете потерять все, что вложили</w:t>
      </w:r>
    </w:p>
    <w:p w:rsidR="008F6926" w:rsidRDefault="008F6926" w:rsidP="008F692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8F6926" w:rsidRDefault="008F6926" w:rsidP="008F692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8F6926" w:rsidRDefault="008F6926" w:rsidP="008F6926">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Структурные облигации предназначены для квалифицированных инвесторов</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структурной облигации российского эмитента.</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Структурная облигация российского эмитента -</w:t>
      </w:r>
      <w:r>
        <w:rPr>
          <w:rFonts w:ascii="Times New Roman" w:hAnsi="Times New Roman" w:cs="Times New Roman"/>
          <w:sz w:val="24"/>
          <w:szCs w:val="24"/>
        </w:rPr>
        <w:t xml:space="preserve"> это ценная бумага, </w:t>
      </w:r>
      <w:r>
        <w:rPr>
          <w:rFonts w:ascii="Times New Roman" w:hAnsi="Times New Roman" w:cs="Times New Roman"/>
          <w:iCs/>
          <w:sz w:val="24"/>
          <w:szCs w:val="24"/>
        </w:rPr>
        <w:t xml:space="preserve">возможность и размер выплат по которой (дохода и выплат при погашении) зависят от наступления или не наступления определенных обстоятельств. К таким обстоятельствам </w:t>
      </w:r>
      <w:r>
        <w:rPr>
          <w:rFonts w:ascii="Times New Roman" w:hAnsi="Times New Roman" w:cs="Times New Roman"/>
          <w:sz w:val="24"/>
          <w:szCs w:val="24"/>
        </w:rPr>
        <w:t xml:space="preserve">могут относиться, например, </w:t>
      </w:r>
      <w:r>
        <w:rPr>
          <w:rFonts w:ascii="Times New Roman" w:hAnsi="Times New Roman" w:cs="Times New Roman"/>
          <w:iCs/>
          <w:sz w:val="24"/>
          <w:szCs w:val="24"/>
        </w:rPr>
        <w:t xml:space="preserve">достижение определенных значений цен базисных активов в определенные даты, в том числе </w:t>
      </w:r>
      <w:r>
        <w:rPr>
          <w:rFonts w:ascii="Times New Roman" w:hAnsi="Times New Roman" w:cs="Times New Roman"/>
          <w:sz w:val="24"/>
          <w:szCs w:val="24"/>
        </w:rPr>
        <w:t xml:space="preserve">цены на товары, ценные бумаги, курсы валют, процентные ставки, показатели уровня инфляции, официальная статистическая информация.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всех выплат по структурной облигации может быть меньше ее номинальной стоимости, также возможна потеря всех вложенных средств.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Каждая структурная облигация одного выпуска имеет одинаковый объем прав.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Погашение номинальной стоимости структурной облигации может осуществляться частями в процессе обращения структурной облигации (амортизация облигации).</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Условиями выпуска структурных облигаций могут быть предусмотрены </w:t>
      </w:r>
      <w:r>
        <w:rPr>
          <w:rFonts w:ascii="Times New Roman" w:hAnsi="Times New Roman" w:cs="Times New Roman"/>
          <w:color w:val="000000"/>
          <w:sz w:val="24"/>
          <w:szCs w:val="24"/>
        </w:rPr>
        <w:t>условия досрочного погашения как по инициативе эмитента, так и по инициативе их владельцев. В некоторых случаях эмитент или иное лицо заранее объявляет о своей готовности приобрести у любого заинтересованного лица структурные облигации в определенную дату (оферта по облигациям). Обратите внимание, что количество структурных облигаций, приобретаемых по оферте, может быть ограничено, и Вы не сможете при желании продать все имеющиеся у Вас структурные облигации.</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Структурная облигация может предусматривать параметр, определяющий долю дохода, которую получит владелец структурной облигации в зависимости от изменения цены установленного в эмиссионной документации актива (активов) – «коэффициент участия».</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Структурная облигация может предусматривать «частичную защиту капитала» — долю от номинала, выплачиваемую в любом случае.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Все условия погашения и выплат купонов по структурной облигации определены в эмиссионной документации.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Структурные облигации, в отличие от акций, </w:t>
      </w:r>
      <w:r>
        <w:rPr>
          <w:rFonts w:ascii="Times New Roman" w:hAnsi="Times New Roman" w:cs="Times New Roman"/>
          <w:bCs/>
          <w:sz w:val="24"/>
          <w:szCs w:val="24"/>
        </w:rPr>
        <w:t xml:space="preserve">не дают право на участие в управлении компанией (обществом) - эмитентом, а также право на участие в управлении компанией (обществом), чьи ценные бумаги указаны в эмиссионной документации как актив, от изменения цены на который зависит получение выплат по структурным облигациям.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Участие в распределении имущества, остающегося при ликвидации (банкротстве) эмитента.</w:t>
      </w:r>
      <w:r>
        <w:rPr>
          <w:rFonts w:ascii="Times New Roman" w:eastAsia="Calibri" w:hAnsi="Times New Roman" w:cs="Times New Roman"/>
          <w:sz w:val="24"/>
          <w:szCs w:val="24"/>
        </w:rPr>
        <w:t xml:space="preserve"> При ликвидации эмитент прекращает свою деятельность, его имущество распределяется между кредиторами (как правило, путем продажи имущества и передачи денежных средств кредиторам), в том числе владельцами структурных облигаций общества. Порядок и размер выплат владельцам структурных облигаций при ликвидации (банкротстве) эмитента носит высокую неопределенность.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риски:</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Рыночный риск (риск негативного изменения стоимости структурной облигации) - </w:t>
      </w:r>
      <w:r>
        <w:rPr>
          <w:rFonts w:ascii="Times New Roman" w:hAnsi="Times New Roman" w:cs="Times New Roman"/>
          <w:sz w:val="24"/>
          <w:szCs w:val="24"/>
        </w:rPr>
        <w:t xml:space="preserve">стоимость принадлежащей Вам структурной облигации может как расти, так и снижаться. Рост стоимости структурной облигации и/или положительная динамика в прошлом иных показателей, от которых зависит размер выплат по структурной облигации, не означает роста стоимости структурной облигации в будущем. </w:t>
      </w:r>
      <w:bookmarkStart w:id="1" w:name="_Hlk147497639"/>
      <w:r>
        <w:rPr>
          <w:rFonts w:ascii="Times New Roman" w:hAnsi="Times New Roman" w:cs="Times New Roman"/>
          <w:sz w:val="24"/>
          <w:szCs w:val="24"/>
        </w:rPr>
        <w:t>С</w:t>
      </w:r>
      <w:r>
        <w:rPr>
          <w:rFonts w:ascii="Times New Roman" w:eastAsia="Calibri" w:hAnsi="Times New Roman" w:cs="Times New Roman"/>
          <w:bCs/>
          <w:sz w:val="24"/>
          <w:szCs w:val="24"/>
        </w:rPr>
        <w:t xml:space="preserve">тоимость принадлежащей Вам структурной облигации может меняться </w:t>
      </w:r>
      <w:r>
        <w:rPr>
          <w:rFonts w:ascii="Times New Roman" w:hAnsi="Times New Roman" w:cs="Times New Roman"/>
          <w:sz w:val="24"/>
          <w:szCs w:val="24"/>
        </w:rPr>
        <w:t xml:space="preserve">под влиянием обстоятельств, от которых зависит получение выплат по структурным облигациям (например, изменение цен на товары, ценные бумаги, курсы валют, динамика процентных ставок и иные обстоятельства, от которых зависит размер выплат по структурным облигациям).  Также изменение рыночной стоимости структурной облигаций может быть связано с изменением восприятия рынком финансового состояния и платежеспособности эмитента структурных облигаций, в том числе с изменением кредитного рейтинга эмитента (конкретного выпуска структурных облигаций, лица, предоставившего обеспечение по структурным облигациям, при его наличии), корпоративными событиями </w:t>
      </w:r>
      <w:r>
        <w:rPr>
          <w:rFonts w:ascii="Times New Roman" w:eastAsia="Calibri" w:hAnsi="Times New Roman" w:cs="Times New Roman"/>
          <w:bCs/>
          <w:sz w:val="24"/>
          <w:szCs w:val="24"/>
        </w:rPr>
        <w:t xml:space="preserve">и другими обстоятельствами. </w:t>
      </w:r>
      <w:bookmarkEnd w:id="1"/>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 xml:space="preserve">Риск ликвидности. </w:t>
      </w:r>
      <w:bookmarkStart w:id="2" w:name="_Hlk147497730"/>
      <w:r>
        <w:rPr>
          <w:rFonts w:ascii="Times New Roman" w:eastAsia="Calibri" w:hAnsi="Times New Roman" w:cs="Times New Roman"/>
          <w:bCs/>
          <w:sz w:val="24"/>
          <w:szCs w:val="24"/>
        </w:rPr>
        <w:t xml:space="preserve">Ликвидность, то есть возможность продать структурную облигацию в любой момент времени без существенного снижения ее стоимости, зависит от спроса и предложения на рынке. </w:t>
      </w:r>
      <w:r>
        <w:rPr>
          <w:rFonts w:ascii="Times New Roman" w:eastAsia="Times New Roman" w:hAnsi="Times New Roman" w:cs="Times New Roman"/>
          <w:sz w:val="24"/>
          <w:szCs w:val="24"/>
        </w:rPr>
        <w:t>Структурные облигации часто имеют низкую ликвидность, то есть из-за небольшого объема торгов бывает сложно найти покупателя</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Структурные облигации могут обращаться на организованном и неорганизованном рынке. Наиболее ликвидными являются структурные облигации, обращающиеся на организованном рынке. Структурные облигации, не обращающиеся на организованном рынке, менее ликвидны. Однако в любом случае Вы можете столкнуться в определенный момент с невозможностью продать свои структурные облигации или с тем, что Вам придется продать их с существенными убытками из-за снижения спроса на них или каких-либо ограничений на их обращение. Предпосылками для снижения ликвидности структурных облигаций могут являться: исключение структурных облигаций из котировального списка биржи, снижение рейтинга эмитента (конкретного выпуска облигаций, лица, предоставившего обеспечение по облигациям, при его наличии), негативные корпоративные события и другие обстоятельства.</w:t>
      </w:r>
    </w:p>
    <w:bookmarkEnd w:id="2"/>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rPr>
      </w:pPr>
      <w:r>
        <w:rPr>
          <w:rFonts w:ascii="Times New Roman" w:hAnsi="Times New Roman" w:cs="Times New Roman"/>
          <w:b/>
          <w:bCs/>
          <w:sz w:val="24"/>
          <w:szCs w:val="24"/>
        </w:rPr>
        <w:t xml:space="preserve">Кредитный риск. </w:t>
      </w:r>
      <w:r>
        <w:rPr>
          <w:rFonts w:ascii="Times New Roman" w:hAnsi="Times New Roman" w:cs="Times New Roman"/>
          <w:sz w:val="24"/>
          <w:szCs w:val="24"/>
        </w:rPr>
        <w:t xml:space="preserve">Существует риск неисполнения эмитентом структурных облигаций своих обязательств, который может реализоваться, в частности, в виде невыплаты или задержки выплаты купонов и (или) погашения номинальной стоимости структурной облигации </w:t>
      </w:r>
      <w:bookmarkStart w:id="3" w:name="_Hlk147497917"/>
      <w:r>
        <w:rPr>
          <w:rFonts w:ascii="Times New Roman" w:hAnsi="Times New Roman" w:cs="Times New Roman"/>
          <w:sz w:val="24"/>
          <w:szCs w:val="24"/>
        </w:rPr>
        <w:t>в предусмотренном размере независимо от наступления событий, описанных в эмиссионной документации</w:t>
      </w:r>
      <w:bookmarkEnd w:id="3"/>
      <w:r>
        <w:rPr>
          <w:rFonts w:ascii="Times New Roman" w:hAnsi="Times New Roman" w:cs="Times New Roman"/>
          <w:sz w:val="24"/>
          <w:szCs w:val="24"/>
        </w:rPr>
        <w:t xml:space="preserve">.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Риск дефолта. </w:t>
      </w:r>
      <w:r>
        <w:rPr>
          <w:rFonts w:ascii="Times New Roman" w:hAnsi="Times New Roman" w:cs="Times New Roman"/>
          <w:sz w:val="24"/>
          <w:szCs w:val="24"/>
        </w:rPr>
        <w:t xml:space="preserve">Ситуация, при которой эмитент не в состоянии выплатить владельцам структурных облигаций сумму погашения облигаций и (или) купонов по ним. В этом случае инвесторы рискуют потерять все свои вложения в данную ценную бумагу. Дефолт может произойти у эмитентов с любым уровнем кредитного рейтинга. Кредитный рейтинг отражает мнение рейтингового агентства о вероятности наступления дефолта: наименее вероятный уровень, как правило, обозначается «ААА» (высший кредитный уровень, затем следует «АА», «А», «ВВВ», «ВВ», «В» по степени увеличения вероятности дефолта). Чем ниже кредитный рейтинг эмитента (конкретного выпуска структурных облигаций, лица, предоставившего обеспечение по структурным облигациям, при его наличии), тем выше, по мнению кредитного рейтингового агентства, вероятность дефолта. </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этом, эмитентами структурных облигаций могут быть компании, не обладающие кредитным рейтингом. В этом случае особенно важен Ваш самостоятельный анализ </w:t>
      </w:r>
      <w:r>
        <w:rPr>
          <w:rFonts w:ascii="Times New Roman" w:hAnsi="Times New Roman" w:cs="Times New Roman"/>
          <w:sz w:val="24"/>
          <w:szCs w:val="24"/>
        </w:rPr>
        <w:lastRenderedPageBreak/>
        <w:t>финансовой устойчивости эмитента, качества обеспечения по структурным облигациям (при наличии).</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Calibri" w:hAnsi="Times New Roman" w:cs="Times New Roman"/>
          <w:bCs/>
          <w:sz w:val="24"/>
          <w:szCs w:val="24"/>
          <w:highlight w:val="green"/>
        </w:rPr>
      </w:pPr>
      <w:r>
        <w:rPr>
          <w:rFonts w:ascii="Times New Roman" w:eastAsia="Calibri" w:hAnsi="Times New Roman" w:cs="Times New Roman"/>
          <w:b/>
          <w:bCs/>
          <w:sz w:val="24"/>
          <w:szCs w:val="24"/>
        </w:rPr>
        <w:t xml:space="preserve">Риск банкротства эмитента. </w:t>
      </w:r>
      <w:r>
        <w:rPr>
          <w:rFonts w:ascii="Times New Roman" w:eastAsia="Calibri" w:hAnsi="Times New Roman" w:cs="Times New Roman"/>
          <w:bCs/>
          <w:sz w:val="24"/>
          <w:szCs w:val="24"/>
        </w:rPr>
        <w:t xml:space="preserve">В случае банкротства эмитента размер его имущества недостаточен для расчетов со всеми кредиторами. Погашение задолженности происходит согласно законодательно установленной очередности. </w:t>
      </w:r>
      <w:r>
        <w:rPr>
          <w:rFonts w:ascii="Times New Roman" w:eastAsia="Calibri" w:hAnsi="Times New Roman" w:cs="Times New Roman"/>
          <w:sz w:val="24"/>
          <w:szCs w:val="24"/>
        </w:rPr>
        <w:t xml:space="preserve">Порядок и размер выплат владельцам структурных облигаций при ликвидации (банкротстве) эмитента носит высокую неопределенность, так как имущества может быть недостаточно для выплат по структурным облигациям. В результате </w:t>
      </w:r>
      <w:r>
        <w:rPr>
          <w:rFonts w:ascii="Times New Roman" w:eastAsia="Calibri" w:hAnsi="Times New Roman" w:cs="Times New Roman"/>
          <w:bCs/>
          <w:sz w:val="24"/>
          <w:szCs w:val="24"/>
        </w:rPr>
        <w:t>Вы можете потерять все свои вложения в структурные облигации.</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color w:val="000000"/>
          <w:sz w:val="24"/>
          <w:szCs w:val="24"/>
        </w:rPr>
      </w:pPr>
      <w:r>
        <w:rPr>
          <w:rFonts w:ascii="Times New Roman" w:hAnsi="Times New Roman" w:cs="Times New Roman"/>
          <w:sz w:val="24"/>
          <w:szCs w:val="24"/>
        </w:rPr>
        <w:t>Эмитент структурных облигаций - кредитная организация вправе взять на себя обязательства по структурным облигациям без дополнительного имущественного обеспечения по ним. С</w:t>
      </w:r>
      <w:r>
        <w:rPr>
          <w:rFonts w:ascii="Times New Roman" w:hAnsi="Times New Roman" w:cs="Times New Roman"/>
          <w:color w:val="000000"/>
          <w:sz w:val="24"/>
          <w:szCs w:val="24"/>
        </w:rPr>
        <w:t>пособность такого эмитента в полном объеме выполнять свои обязательства по структурным облигациям подтверждается, например, кредитным рейтингом и финансовым положением, а также м</w:t>
      </w:r>
      <w:r>
        <w:rPr>
          <w:rFonts w:ascii="Times New Roman" w:hAnsi="Times New Roman" w:cs="Times New Roman"/>
          <w:sz w:val="24"/>
          <w:szCs w:val="24"/>
        </w:rPr>
        <w:t xml:space="preserve">ожет полностью или частично обеспечиваться </w:t>
      </w:r>
      <w:r>
        <w:rPr>
          <w:rFonts w:ascii="Times New Roman" w:hAnsi="Times New Roman" w:cs="Times New Roman"/>
          <w:color w:val="000000"/>
          <w:sz w:val="24"/>
          <w:szCs w:val="24"/>
        </w:rPr>
        <w:t>поручительством, банковской, государственной или муниципальной гарантией. При покупке структурных облигаций Вам следует обратить внимание на финансовую устойчивость и добросовестность эмитента, а также на наличие и качество обеспечения структурных облигаций.</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При сделках со </w:t>
      </w:r>
      <w:r>
        <w:rPr>
          <w:rFonts w:ascii="Times New Roman" w:hAnsi="Times New Roman" w:cs="Times New Roman"/>
          <w:sz w:val="24"/>
          <w:szCs w:val="24"/>
        </w:rPr>
        <w:t xml:space="preserve">структурными облигациями </w:t>
      </w:r>
      <w:r>
        <w:rPr>
          <w:rFonts w:ascii="Times New Roman" w:hAnsi="Times New Roman" w:cs="Times New Roman"/>
          <w:bCs/>
          <w:sz w:val="24"/>
          <w:szCs w:val="24"/>
        </w:rPr>
        <w:t xml:space="preserve">взимается комиссия брокера за исполнение поручений, а также могут взиматься комиссии биржи и клиринговой организации за совершение сделки, комиссия депозитария за учет права собственности инвестора на структурную облигацию. </w:t>
      </w:r>
      <w:r>
        <w:rPr>
          <w:rFonts w:ascii="Times New Roman" w:hAnsi="Times New Roman" w:cs="Times New Roman"/>
          <w:sz w:val="24"/>
          <w:szCs w:val="24"/>
        </w:rPr>
        <w:t>Размеры всех тарифов можно найти на сайте брокера, депозитария, клиринговой организации и биржи.</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8F6926" w:rsidRDefault="008F6926" w:rsidP="008F6926">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921BDE" w:rsidRDefault="00921BDE"/>
    <w:sectPr w:rsidR="00921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26"/>
    <w:rsid w:val="008F6926"/>
    <w:rsid w:val="0092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151AC-3739-41E3-B34E-501A6876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92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Мидзяновская Ольга Викторовна</dc:creator>
  <cp:keywords/>
  <dc:description/>
  <cp:lastModifiedBy>Мидзяновская Ольга Викторовна</cp:lastModifiedBy>
  <cp:revision>1</cp:revision>
  <dcterms:created xsi:type="dcterms:W3CDTF">2025-03-05T13:39:00Z</dcterms:created>
  <dcterms:modified xsi:type="dcterms:W3CDTF">2025-03-05T14:59:00Z</dcterms:modified>
</cp:coreProperties>
</file>