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31" w:rsidRDefault="00A2725F" w:rsidP="008B6505">
      <w:pPr>
        <w:spacing w:after="0" w:line="240" w:lineRule="auto"/>
        <w:ind w:firstLine="249"/>
        <w:jc w:val="center"/>
        <w:rPr>
          <w:rFonts w:ascii="Times New Roman" w:hAnsi="Times New Roman"/>
          <w:b/>
          <w:sz w:val="24"/>
          <w:szCs w:val="24"/>
        </w:rPr>
      </w:pPr>
      <w:bookmarkStart w:id="0" w:name="_Hlk163576821"/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 xml:space="preserve"> </w:t>
      </w:r>
      <w:r w:rsidR="00851853">
        <w:rPr>
          <w:rFonts w:ascii="Times New Roman" w:hAnsi="Times New Roman"/>
          <w:b/>
          <w:sz w:val="24"/>
          <w:szCs w:val="24"/>
        </w:rPr>
        <w:t>Декларации о рисках</w:t>
      </w:r>
    </w:p>
    <w:p w:rsidR="00851853" w:rsidRDefault="00851853" w:rsidP="008B6505">
      <w:pPr>
        <w:spacing w:after="0" w:line="240" w:lineRule="auto"/>
        <w:ind w:firstLine="249"/>
        <w:jc w:val="center"/>
        <w:rPr>
          <w:rFonts w:ascii="Times New Roman" w:hAnsi="Times New Roman"/>
          <w:b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249"/>
        <w:jc w:val="center"/>
        <w:rPr>
          <w:rFonts w:ascii="Times New Roman" w:hAnsi="Times New Roman"/>
          <w:b/>
          <w:sz w:val="24"/>
          <w:szCs w:val="24"/>
        </w:rPr>
      </w:pPr>
      <w:r w:rsidRPr="00CA6A5D">
        <w:rPr>
          <w:rFonts w:ascii="Times New Roman" w:hAnsi="Times New Roman"/>
          <w:b/>
          <w:sz w:val="24"/>
          <w:szCs w:val="24"/>
        </w:rPr>
        <w:t>Декларация о рисках, связанных с совершением операций на рынке ценных бумаг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249"/>
        <w:jc w:val="center"/>
        <w:rPr>
          <w:rFonts w:ascii="Times New Roman" w:hAnsi="Times New Roman"/>
          <w:b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Цель настоящей декларации — предоставить Вам информацию об основных рисках, связанных с совершением операций на рынке ценных бумаг. Обращаем Ваше внимание на то, что настоящая декларация не раскрывает информацию обо всех рисках на рынке ценных бумаг вследствие разнообразия возникающих на нем ситуаций.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факторов. Ниже – основные риски, с которыми будут связаны Ваши операции на рынке ценных бумаг.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  <w:lang w:val="en-US"/>
        </w:rPr>
        <w:t>I</w:t>
      </w:r>
      <w:r w:rsidRPr="00CA6A5D">
        <w:rPr>
          <w:rFonts w:ascii="Times New Roman" w:hAnsi="Times New Roman"/>
          <w:sz w:val="24"/>
          <w:szCs w:val="24"/>
        </w:rPr>
        <w:t xml:space="preserve">. Системный риск 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Этот риск затрагивает несколько финансовых институтов и проявляется в снижении их способности выполнять свои функции. В силу большой степени взаимодействия и взаимозависимости финансовых институтов между собой оценка системного риска сложна, но его реализация может повлиять на всех участников финансового рынка.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  <w:lang w:val="en-US"/>
        </w:rPr>
        <w:t>II</w:t>
      </w:r>
      <w:r w:rsidRPr="00CA6A5D">
        <w:rPr>
          <w:rFonts w:ascii="Times New Roman" w:hAnsi="Times New Roman"/>
          <w:sz w:val="24"/>
          <w:szCs w:val="24"/>
        </w:rPr>
        <w:t>. Рыночный риск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Этот риск проявляется в неблагоприятном изменении цен принадлежащих Вам финансовых инструментов, в том числе из-за неблагоприятного изменения рыночных условий для эмитента, неблагоприятного изменения политической ситуации, резкой девальвации национальной валюты, кризиса рынка государственных долговых обязательств, банковского и валютного кризиса, обстоятельств непреодолимой силы, главным образом стихийного и военного характера, и как следствие, приводит к снижению доходности или даже убыткам. Вы должны отдавать себе отчет в том, что стоимость принадлежащих Вам финансовых инструментов может как расти, так и снижаться, и ее рост в прошлом не означает ее роста в будущем.</w:t>
      </w: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 xml:space="preserve">Следует специально обратить внимание на следующие рыночные риски: 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1. Валютный риск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Валютный риск проявляется в неблагоприятном изменении курса рубля по отношению к иностранной валюте, при котором Ваши доходы от операций с финансовыми инструментами могут быть подвержены инфляционному воздействию (снижению реальной покупательной способности), вследствие чего Вы можете потерять часть дохода, а также понести убытки, по сравнению с соответствующей иностранной валютой или выраженными в ней финансовыми инструментами. Валютный риск также может проявляться в неблагоприятном изменении курса иностранной валюты по отношению к рублю, вследствие чего Вы можете потерять часть дохода, а также понести убытки от операций с финансовыми инструментами, связанными с иностранной валютой, по сравнению с российскими финансовыми инструментами, выраженными в рублях.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2. Процентный риск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Этот риск проявляется в неблагоприятном изменении процентной ставки, влияющей на курсовую стоимость облигаций с фиксированным доходом, что приводит к снижению стоимости таких облигаций.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3. Риск банкротства эмитента акций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Риск банкротства акционерного общества проявляется в резком падении цены акций акционерного общества, признанного несостоятельным, или в предвидении такой несостоятельности.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 xml:space="preserve">Для того чтобы снизить рыночный риск, Вам следует внимательно отнестись к выбору финансовых инструментов и их диверсификации, то есть к составу финансовых инструментов, которые Вы намерены приобрести. Кроме того, внимательно ознакомьтесь с условиями Вашего взаимодействия с Вашим </w:t>
      </w:r>
      <w:r>
        <w:rPr>
          <w:rFonts w:ascii="Times New Roman" w:hAnsi="Times New Roman"/>
          <w:sz w:val="24"/>
          <w:szCs w:val="24"/>
        </w:rPr>
        <w:t>брокером</w:t>
      </w:r>
      <w:r w:rsidRPr="00CA6A5D">
        <w:rPr>
          <w:rFonts w:ascii="Times New Roman" w:hAnsi="Times New Roman"/>
          <w:sz w:val="24"/>
          <w:szCs w:val="24"/>
        </w:rPr>
        <w:t xml:space="preserve"> для того, чтобы оценить расходы, с которыми будут связаны владение и операции с финансовыми инструментами и убедитесь, в том, что они приемлемы для Вас и не лишают Вас ожидаемого дохода.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  <w:lang w:val="en-US"/>
        </w:rPr>
        <w:t>III</w:t>
      </w:r>
      <w:r w:rsidRPr="00CA6A5D">
        <w:rPr>
          <w:rFonts w:ascii="Times New Roman" w:hAnsi="Times New Roman"/>
          <w:sz w:val="24"/>
          <w:szCs w:val="24"/>
        </w:rPr>
        <w:t>. Риск ликвидности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Этот риск проявляется в снижении возможности реализовать финансовые инструменты по приемлемой цене из-за снижения спроса на них, то есть в убытках, связанных со значительным снижением стоимости финансовых инструментов, по которой их придется продать при возникновении такой необходимости.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  <w:lang w:val="en-US"/>
        </w:rPr>
        <w:t>IV</w:t>
      </w:r>
      <w:r w:rsidRPr="00CA6A5D">
        <w:rPr>
          <w:rFonts w:ascii="Times New Roman" w:hAnsi="Times New Roman"/>
          <w:sz w:val="24"/>
          <w:szCs w:val="24"/>
        </w:rPr>
        <w:t>. Кредитный риск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Этот риск заключается в возможности невыполнения договорных и иных обязательств, принятых на себя эмитентами ценных бумаг и другими лицами в связи с Вашими операциями.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К числу кредитных рисков относятся следующие риски: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1. Риск дефолта по облигациям и иным долговым ценным бумагам</w:t>
      </w: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Этот риск заключается в возможной неплатежеспособности эмитента долговых ценных бумаг, что приведет к невозможности или снижению вероятности погасить их в срок и в полном объеме.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2409AD">
        <w:rPr>
          <w:rFonts w:ascii="Times New Roman" w:hAnsi="Times New Roman"/>
          <w:sz w:val="24"/>
          <w:szCs w:val="24"/>
        </w:rPr>
        <w:t>2</w:t>
      </w:r>
      <w:r w:rsidRPr="00CA6A5D">
        <w:rPr>
          <w:rFonts w:ascii="Times New Roman" w:hAnsi="Times New Roman"/>
          <w:sz w:val="24"/>
          <w:szCs w:val="24"/>
        </w:rPr>
        <w:t>. Риск контрагента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 xml:space="preserve">Риск контрагента - третьего лица проявляется в риске неисполнения обязательств перед Вами или Вашим </w:t>
      </w:r>
      <w:r>
        <w:rPr>
          <w:rFonts w:ascii="Times New Roman" w:hAnsi="Times New Roman"/>
          <w:sz w:val="24"/>
          <w:szCs w:val="24"/>
        </w:rPr>
        <w:t>б</w:t>
      </w:r>
      <w:r w:rsidRPr="00CA6A5D">
        <w:rPr>
          <w:rFonts w:ascii="Times New Roman" w:hAnsi="Times New Roman"/>
          <w:sz w:val="24"/>
          <w:szCs w:val="24"/>
        </w:rPr>
        <w:t xml:space="preserve">рокером со стороны контрагентов. Ваш брокер должен принимать меры по минимизации риска контрагента, однако не может исключить его полностью. 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 xml:space="preserve">Особенно высок риск контрагента по операциям, совершаемым на </w:t>
      </w:r>
      <w:r>
        <w:rPr>
          <w:rFonts w:ascii="Times New Roman" w:hAnsi="Times New Roman"/>
          <w:sz w:val="24"/>
          <w:szCs w:val="24"/>
        </w:rPr>
        <w:t xml:space="preserve">внебиржевом </w:t>
      </w:r>
      <w:r w:rsidRPr="00CA6A5D">
        <w:rPr>
          <w:rFonts w:ascii="Times New Roman" w:hAnsi="Times New Roman"/>
          <w:sz w:val="24"/>
          <w:szCs w:val="24"/>
        </w:rPr>
        <w:t xml:space="preserve">рынке, без участия клиринговых организаций, которые в значительной мере принимают на себя риски неисполнения обязательств. 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Вы должны отдавать себе отчет в том, что хотя брокер действует в Ваших интересах, риски, которые он принимает в результате таких действий, в том числе риск неисполнения или ненадлежащего исполнения обязательств третьих лиц перед Вашим брокером</w:t>
      </w:r>
      <w:r>
        <w:rPr>
          <w:rFonts w:ascii="Times New Roman" w:hAnsi="Times New Roman"/>
          <w:sz w:val="24"/>
          <w:szCs w:val="24"/>
        </w:rPr>
        <w:t>,</w:t>
      </w:r>
      <w:r w:rsidRPr="00CA6A5D">
        <w:rPr>
          <w:rFonts w:ascii="Times New Roman" w:hAnsi="Times New Roman"/>
          <w:sz w:val="24"/>
          <w:szCs w:val="24"/>
        </w:rPr>
        <w:t xml:space="preserve"> несете Вы. 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  <w:lang w:val="en-US"/>
        </w:rPr>
        <w:t>V</w:t>
      </w:r>
      <w:r w:rsidRPr="00CA6A5D">
        <w:rPr>
          <w:rFonts w:ascii="Times New Roman" w:hAnsi="Times New Roman"/>
          <w:sz w:val="24"/>
          <w:szCs w:val="24"/>
        </w:rPr>
        <w:t>. Правовой риск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Этот риск связан с возможными изменениями законодательства или нормативных актов, стандартов саморегулируемых организаций, регулирующих рынок ценных бумаг, или иные отрасли экономики, которые могут привести к негативным для Вас последствиям.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lastRenderedPageBreak/>
        <w:t>К правовому риску также относится возможность изменения правил расчета налога, налоговых ставок, отмены налоговых вычетов и другие изменения налогового законодательства, которые могут привести к негативным для Вас последствиям.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  <w:lang w:val="en-US"/>
        </w:rPr>
        <w:t>VI</w:t>
      </w:r>
      <w:r w:rsidRPr="00CA6A5D">
        <w:rPr>
          <w:rFonts w:ascii="Times New Roman" w:hAnsi="Times New Roman"/>
          <w:sz w:val="24"/>
          <w:szCs w:val="24"/>
        </w:rPr>
        <w:t>. Операционный риск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Операционный риск заключается в возможности причинения Вам убытков в результате нарушения внутренних процедур Вашего брокера, ошибок и недобросовестных действий его сотрудников, сбоев в работе технических средств Вашего брокера, его партнеров, инфраструктурных организаций, в том числе организаторов торговли, клиринговых организаций, а также других организаций. Операционный риск может исключить или затруднить совершение операций, привести к совершению неправильных операций, и в результате повлечь возникновение убытков.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Ознакомьтесь внимательно с договором для того, чтобы оценить, какие из рисков, в том числе риски каких технических сбоев, несет Ваш брокер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6A5D">
        <w:rPr>
          <w:rFonts w:ascii="Times New Roman" w:hAnsi="Times New Roman"/>
          <w:sz w:val="24"/>
          <w:szCs w:val="24"/>
        </w:rPr>
        <w:t>а какие из рисков несете Вы.</w:t>
      </w:r>
    </w:p>
    <w:p w:rsidR="008B6505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>***</w:t>
      </w:r>
    </w:p>
    <w:p w:rsidR="008B6505" w:rsidRPr="00CA6A5D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 xml:space="preserve">Учитывая вышеизложенное, мы рекомендуем Вам внимательно рассмотреть вопрос о том, являются ли риски, связанные с совершением операций на рынке ценных бумаг, приемлемыми для Вас </w:t>
      </w:r>
      <w:bookmarkStart w:id="2" w:name="_Hlk172561775"/>
      <w:r w:rsidRPr="00CA6A5D">
        <w:rPr>
          <w:rFonts w:ascii="Times New Roman" w:hAnsi="Times New Roman"/>
          <w:sz w:val="24"/>
          <w:szCs w:val="24"/>
        </w:rPr>
        <w:t>с учетом Ваших инвестиционных целей и финансовых возможностей</w:t>
      </w:r>
      <w:bookmarkEnd w:id="2"/>
      <w:r w:rsidRPr="00CA6A5D">
        <w:rPr>
          <w:rFonts w:ascii="Times New Roman" w:hAnsi="Times New Roman"/>
          <w:sz w:val="24"/>
          <w:szCs w:val="24"/>
        </w:rPr>
        <w:t>. Данная декларация не имеет своей целью заставить Вас отказаться от осуществления операций на рынке ценных бумаг,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брокером.</w:t>
      </w:r>
    </w:p>
    <w:p w:rsidR="00851EBF" w:rsidRDefault="008B6505" w:rsidP="003E70FB">
      <w:pPr>
        <w:pBdr>
          <w:top w:val="dashSmallGap" w:sz="4" w:space="1" w:color="auto"/>
          <w:left w:val="dashSmallGap" w:sz="4" w:space="1" w:color="auto"/>
          <w:bottom w:val="dashSmallGap" w:sz="4" w:space="1" w:color="auto"/>
          <w:right w:val="dashSmallGap" w:sz="4" w:space="1" w:color="auto"/>
        </w:pBd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CA6A5D">
        <w:rPr>
          <w:rFonts w:ascii="Times New Roman" w:hAnsi="Times New Roman"/>
          <w:sz w:val="24"/>
          <w:szCs w:val="24"/>
        </w:rPr>
        <w:t xml:space="preserve">Убедитесь, что настоящая декларация о рисках понятна Вам, и при необходимости получите разъяснения у Вашего брокера или консультанта, специализирующегося на соответствующих вопросах. </w:t>
      </w:r>
      <w:bookmarkEnd w:id="0"/>
    </w:p>
    <w:p w:rsidR="008B6505" w:rsidRDefault="008B6505" w:rsidP="008B6505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E27D01" w:rsidRDefault="00E27D01" w:rsidP="008B6505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E27D01" w:rsidRDefault="00E27D01" w:rsidP="008B6505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E27D01" w:rsidRPr="008B6505" w:rsidRDefault="00E27D01" w:rsidP="008B6505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851EBF" w:rsidRPr="00B06B6D" w:rsidTr="00F45AE9">
        <w:tc>
          <w:tcPr>
            <w:tcW w:w="9782" w:type="dxa"/>
            <w:gridSpan w:val="8"/>
            <w:shd w:val="clear" w:color="auto" w:fill="D5D7D7"/>
            <w:vAlign w:val="center"/>
          </w:tcPr>
          <w:p w:rsidR="00851EBF" w:rsidRPr="00B06B6D" w:rsidRDefault="00851EBF" w:rsidP="008B6505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 Клиента/Представителя Клиента:</w:t>
            </w:r>
          </w:p>
        </w:tc>
      </w:tr>
      <w:tr w:rsidR="00851EBF" w:rsidRPr="00B06B6D" w:rsidTr="00F45AE9">
        <w:tc>
          <w:tcPr>
            <w:tcW w:w="4253" w:type="dxa"/>
            <w:gridSpan w:val="3"/>
            <w:shd w:val="clear" w:color="auto" w:fill="auto"/>
            <w:vAlign w:val="bottom"/>
          </w:tcPr>
          <w:p w:rsidR="00851EBF" w:rsidRPr="00B06B6D" w:rsidRDefault="00851EBF" w:rsidP="008B6505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Дата подписания: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c>
          <w:tcPr>
            <w:tcW w:w="4253" w:type="dxa"/>
            <w:gridSpan w:val="3"/>
            <w:shd w:val="clear" w:color="auto" w:fill="auto"/>
            <w:vAlign w:val="bottom"/>
          </w:tcPr>
          <w:p w:rsidR="00851EBF" w:rsidRPr="00B06B6D" w:rsidRDefault="00851EBF" w:rsidP="008B6505">
            <w:pPr>
              <w:keepNext/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851EBF" w:rsidRPr="00B06B6D" w:rsidRDefault="00851EBF" w:rsidP="008B6505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 xml:space="preserve"> (заполняется собственноручно без сокращений):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c>
          <w:tcPr>
            <w:tcW w:w="9782" w:type="dxa"/>
            <w:gridSpan w:val="8"/>
            <w:shd w:val="clear" w:color="auto" w:fill="auto"/>
            <w:vAlign w:val="bottom"/>
          </w:tcPr>
          <w:p w:rsidR="00851EBF" w:rsidRPr="00B06B6D" w:rsidRDefault="00851EBF" w:rsidP="008B6505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Основание полномочий Представителя Клиента, подписавшего Информационный документ от имени Клиента:</w:t>
            </w:r>
          </w:p>
        </w:tc>
      </w:tr>
      <w:tr w:rsidR="00F62E5D" w:rsidRPr="00B06B6D" w:rsidTr="00F45AE9">
        <w:tc>
          <w:tcPr>
            <w:tcW w:w="9782" w:type="dxa"/>
            <w:gridSpan w:val="8"/>
            <w:shd w:val="clear" w:color="auto" w:fill="auto"/>
            <w:vAlign w:val="bottom"/>
          </w:tcPr>
          <w:p w:rsidR="00F62E5D" w:rsidRPr="00B06B6D" w:rsidRDefault="00F62E5D" w:rsidP="008B6505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8B6505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6B6D">
              <w:rPr>
                <w:rFonts w:ascii="Times New Roman" w:eastAsia="Times New Roman" w:hAnsi="Times New Roman"/>
                <w:sz w:val="16"/>
                <w:szCs w:val="16"/>
              </w:rPr>
              <w:t>(наименование документа, его номер, дата и срок действия)</w:t>
            </w:r>
          </w:p>
        </w:tc>
      </w:tr>
    </w:tbl>
    <w:p w:rsidR="00851EBF" w:rsidRDefault="00851EBF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35E31" w:rsidRDefault="00335E31" w:rsidP="008B6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249"/>
        <w:jc w:val="center"/>
        <w:rPr>
          <w:rFonts w:ascii="Times New Roman" w:hAnsi="Times New Roman"/>
          <w:b/>
          <w:sz w:val="24"/>
          <w:szCs w:val="24"/>
        </w:rPr>
      </w:pPr>
      <w:r w:rsidRPr="00A464B1">
        <w:rPr>
          <w:rFonts w:ascii="Times New Roman" w:hAnsi="Times New Roman"/>
          <w:b/>
          <w:sz w:val="24"/>
          <w:szCs w:val="24"/>
        </w:rPr>
        <w:lastRenderedPageBreak/>
        <w:t>Декларация о рисках использования брокером в своих интересах денежных средств и (или) ценных бумаг клиента</w:t>
      </w: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A464B1">
        <w:rPr>
          <w:rFonts w:ascii="Times New Roman" w:hAnsi="Times New Roman"/>
          <w:sz w:val="24"/>
          <w:szCs w:val="24"/>
        </w:rPr>
        <w:t xml:space="preserve">Цель настоящей декларации – предоставить Вам информацию об основных рисках, с которыми связано использование брокером в своих интересах Ваших денежных средств и (или) ценных бумаг. </w:t>
      </w: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A464B1">
        <w:rPr>
          <w:rFonts w:ascii="Times New Roman" w:hAnsi="Times New Roman"/>
          <w:sz w:val="24"/>
          <w:szCs w:val="24"/>
          <w:lang w:val="en-US"/>
        </w:rPr>
        <w:t>I</w:t>
      </w:r>
      <w:r w:rsidRPr="00A464B1">
        <w:rPr>
          <w:rFonts w:ascii="Times New Roman" w:hAnsi="Times New Roman"/>
          <w:sz w:val="24"/>
          <w:szCs w:val="24"/>
        </w:rPr>
        <w:t>.</w:t>
      </w:r>
      <w:r w:rsidRPr="00A464B1" w:rsidDel="0038239D">
        <w:rPr>
          <w:rFonts w:ascii="Times New Roman" w:hAnsi="Times New Roman"/>
          <w:sz w:val="24"/>
          <w:szCs w:val="24"/>
        </w:rPr>
        <w:t xml:space="preserve"> </w:t>
      </w:r>
      <w:r w:rsidRPr="00A464B1">
        <w:rPr>
          <w:rFonts w:ascii="Times New Roman" w:hAnsi="Times New Roman"/>
          <w:sz w:val="24"/>
          <w:szCs w:val="24"/>
        </w:rPr>
        <w:t>Риск использования денежных средств</w:t>
      </w: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4B1">
        <w:rPr>
          <w:rFonts w:ascii="Times New Roman" w:hAnsi="Times New Roman"/>
          <w:sz w:val="24"/>
          <w:szCs w:val="24"/>
        </w:rPr>
        <w:t xml:space="preserve"> Законодательство не предусматривает возможности разделения денежных средств брокера, являющегося кредитной организацией, и денежных средств его клиентов, в связи с чем брокер вправе использовать Ваши денежные средства</w:t>
      </w:r>
      <w:r>
        <w:rPr>
          <w:rFonts w:ascii="Times New Roman" w:hAnsi="Times New Roman"/>
          <w:sz w:val="24"/>
          <w:szCs w:val="24"/>
        </w:rPr>
        <w:t xml:space="preserve">, а Вы </w:t>
      </w:r>
      <w:r w:rsidRPr="00A464B1">
        <w:rPr>
          <w:rFonts w:ascii="Times New Roman" w:hAnsi="Times New Roman"/>
          <w:sz w:val="24"/>
          <w:szCs w:val="24"/>
        </w:rPr>
        <w:t>принимаете на себя риск банкротства брокера, если он не сможет вернуть сумму Ваших средств, которые использовал. Такой риск не зависит от того осуществляли ли Вы сами сделки с использованием чужих средств или нет и в настоящее время не страхуется</w:t>
      </w:r>
      <w:r>
        <w:rPr>
          <w:rFonts w:ascii="Times New Roman" w:hAnsi="Times New Roman"/>
          <w:sz w:val="24"/>
          <w:szCs w:val="24"/>
        </w:rPr>
        <w:t>.</w:t>
      </w: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A464B1">
        <w:rPr>
          <w:rFonts w:ascii="Times New Roman" w:hAnsi="Times New Roman"/>
          <w:sz w:val="24"/>
          <w:szCs w:val="24"/>
          <w:lang w:val="en-US"/>
        </w:rPr>
        <w:t>II</w:t>
      </w:r>
      <w:r w:rsidRPr="00A464B1">
        <w:rPr>
          <w:rFonts w:ascii="Times New Roman" w:hAnsi="Times New Roman"/>
          <w:sz w:val="24"/>
          <w:szCs w:val="24"/>
        </w:rPr>
        <w:t xml:space="preserve">. Риск использования ценных бумаг </w:t>
      </w: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12040A" w:rsidRPr="0012040A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0A">
        <w:rPr>
          <w:rFonts w:ascii="Times New Roman" w:hAnsi="Times New Roman"/>
          <w:sz w:val="24"/>
          <w:szCs w:val="24"/>
        </w:rPr>
        <w:t xml:space="preserve">Договором не предусмотрено использование </w:t>
      </w:r>
      <w:r w:rsidR="00E37F5F">
        <w:rPr>
          <w:rFonts w:ascii="Times New Roman" w:hAnsi="Times New Roman"/>
          <w:sz w:val="24"/>
          <w:szCs w:val="24"/>
        </w:rPr>
        <w:t>б</w:t>
      </w:r>
      <w:r w:rsidRPr="0012040A">
        <w:rPr>
          <w:rFonts w:ascii="Times New Roman" w:hAnsi="Times New Roman"/>
          <w:sz w:val="24"/>
          <w:szCs w:val="24"/>
        </w:rPr>
        <w:t>рокером Ваших ценных бумаг</w:t>
      </w:r>
      <w:r>
        <w:rPr>
          <w:rFonts w:ascii="Times New Roman" w:hAnsi="Times New Roman"/>
          <w:sz w:val="24"/>
          <w:szCs w:val="24"/>
        </w:rPr>
        <w:t>.</w:t>
      </w:r>
    </w:p>
    <w:p w:rsidR="00E37F5F" w:rsidRPr="00E37F5F" w:rsidRDefault="00E37F5F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F5F">
        <w:rPr>
          <w:rFonts w:ascii="Times New Roman" w:hAnsi="Times New Roman"/>
          <w:sz w:val="24"/>
          <w:szCs w:val="24"/>
        </w:rPr>
        <w:t>Тем не менее, имущество Клиента, предоставленное в качестве обеспечения обязательств, допущенных к клирингу, и обязательства, возникшие из договоров, заключенных за счет Клиента, будут учитываться Клиринговой организацией совместно с имуществом и обязательствами других Клиентов (за исключением случаев, когда это запрещено правовыми актами Российской Федерации), в результате чего существует риск использования в рамках клиринга имущества одного клиента для покрытия обязательств другого клиента.</w:t>
      </w:r>
    </w:p>
    <w:p w:rsidR="0012040A" w:rsidRPr="00A464B1" w:rsidRDefault="00E37F5F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F5F">
        <w:rPr>
          <w:rFonts w:ascii="Times New Roman" w:hAnsi="Times New Roman"/>
          <w:sz w:val="24"/>
          <w:szCs w:val="24"/>
        </w:rPr>
        <w:t xml:space="preserve">Во избежание данного риска Вы вправе потребовать ведения отдельного учета клиринговой организацией Вашего имущества, предоставленного в качестве обеспечения, и обязательств Банка, возникших из договоров, заключенных за Ваш счет (обособленный торгово-клиринговый счет (ТКС)), выбрав необходимую опцию в Заявлении на обслуживание, составленном по форме Приложения № 2b к Регламенту.  </w:t>
      </w: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64B1">
        <w:rPr>
          <w:rFonts w:ascii="Times New Roman" w:hAnsi="Times New Roman"/>
          <w:sz w:val="24"/>
          <w:szCs w:val="24"/>
          <w:shd w:val="clear" w:color="auto" w:fill="FFFFFF"/>
        </w:rPr>
        <w:t>***</w:t>
      </w:r>
    </w:p>
    <w:p w:rsidR="0012040A" w:rsidRPr="00A464B1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4B1">
        <w:rPr>
          <w:rFonts w:ascii="Times New Roman" w:hAnsi="Times New Roman"/>
          <w:sz w:val="24"/>
          <w:szCs w:val="24"/>
        </w:rPr>
        <w:t>Внимательно ознакомьтесь с договором для того, чтобы оценить, какие полномочия по использованию Вашего имущества будет иметь Ваш брокер, каковы правила его хранения, а также возврата.</w:t>
      </w:r>
    </w:p>
    <w:p w:rsidR="0012040A" w:rsidRDefault="0012040A" w:rsidP="003E70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4B1">
        <w:rPr>
          <w:rFonts w:ascii="Times New Roman" w:hAnsi="Times New Roman"/>
          <w:sz w:val="24"/>
          <w:szCs w:val="24"/>
        </w:rPr>
        <w:t xml:space="preserve">Убедитесь, что настоящая декларация о рисках понятна Вам, и при необходимости получите разъяснения у Вашего брокера или консультанта, специализирующегося на соответствующих вопросах. </w:t>
      </w:r>
    </w:p>
    <w:p w:rsidR="00CE3CEF" w:rsidRPr="008B6505" w:rsidRDefault="00CE3CEF" w:rsidP="00874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12040A" w:rsidRPr="00B06B6D" w:rsidTr="002409AD">
        <w:tc>
          <w:tcPr>
            <w:tcW w:w="9782" w:type="dxa"/>
            <w:gridSpan w:val="8"/>
            <w:shd w:val="clear" w:color="auto" w:fill="D5D7D7"/>
            <w:vAlign w:val="center"/>
          </w:tcPr>
          <w:p w:rsidR="0012040A" w:rsidRPr="00B06B6D" w:rsidRDefault="0012040A" w:rsidP="002409A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 Клиента/Представителя Клиента:</w:t>
            </w:r>
          </w:p>
        </w:tc>
      </w:tr>
      <w:tr w:rsidR="0012040A" w:rsidRPr="00B06B6D" w:rsidTr="002409AD">
        <w:tc>
          <w:tcPr>
            <w:tcW w:w="4253" w:type="dxa"/>
            <w:gridSpan w:val="3"/>
            <w:shd w:val="clear" w:color="auto" w:fill="auto"/>
            <w:vAlign w:val="bottom"/>
          </w:tcPr>
          <w:p w:rsidR="0012040A" w:rsidRPr="00B06B6D" w:rsidRDefault="0012040A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Дата подписания: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040A" w:rsidRPr="00B06B6D" w:rsidTr="002409AD">
        <w:tc>
          <w:tcPr>
            <w:tcW w:w="4253" w:type="dxa"/>
            <w:gridSpan w:val="3"/>
            <w:shd w:val="clear" w:color="auto" w:fill="auto"/>
            <w:vAlign w:val="bottom"/>
          </w:tcPr>
          <w:p w:rsidR="0012040A" w:rsidRPr="00B06B6D" w:rsidRDefault="0012040A" w:rsidP="002409AD">
            <w:pPr>
              <w:keepNext/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040A" w:rsidRPr="00B06B6D" w:rsidTr="002409AD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12040A" w:rsidRPr="00B06B6D" w:rsidRDefault="0012040A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 xml:space="preserve"> (заполняется собственноручно без сокращений):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040A" w:rsidRPr="00B06B6D" w:rsidTr="002409AD">
        <w:tc>
          <w:tcPr>
            <w:tcW w:w="9782" w:type="dxa"/>
            <w:gridSpan w:val="8"/>
            <w:shd w:val="clear" w:color="auto" w:fill="auto"/>
            <w:vAlign w:val="bottom"/>
          </w:tcPr>
          <w:p w:rsidR="0012040A" w:rsidRPr="00B06B6D" w:rsidRDefault="0012040A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Основание полномочий Представителя Клиента, подписавшего Информационный документ от имени Клиента:</w:t>
            </w:r>
          </w:p>
        </w:tc>
      </w:tr>
      <w:tr w:rsidR="0012040A" w:rsidRPr="00B06B6D" w:rsidTr="002409AD">
        <w:tc>
          <w:tcPr>
            <w:tcW w:w="9782" w:type="dxa"/>
            <w:gridSpan w:val="8"/>
            <w:shd w:val="clear" w:color="auto" w:fill="auto"/>
            <w:vAlign w:val="bottom"/>
          </w:tcPr>
          <w:p w:rsidR="0012040A" w:rsidRPr="00B06B6D" w:rsidRDefault="0012040A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040A" w:rsidRPr="00B06B6D" w:rsidTr="002409AD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040A" w:rsidRPr="00B06B6D" w:rsidTr="002409AD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040A" w:rsidRPr="00B06B6D" w:rsidRDefault="0012040A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6B6D">
              <w:rPr>
                <w:rFonts w:ascii="Times New Roman" w:eastAsia="Times New Roman" w:hAnsi="Times New Roman"/>
                <w:sz w:val="16"/>
                <w:szCs w:val="16"/>
              </w:rPr>
              <w:t>(наименование документа, его номер, дата и срок действия)</w:t>
            </w:r>
          </w:p>
        </w:tc>
      </w:tr>
    </w:tbl>
    <w:p w:rsidR="0012040A" w:rsidRDefault="0012040A" w:rsidP="00120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2040A" w:rsidRPr="00A464B1" w:rsidRDefault="0012040A" w:rsidP="0012040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12040A" w:rsidRDefault="0012040A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12040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8744C0" w:rsidRDefault="008744C0" w:rsidP="00874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744C0" w:rsidRPr="00C114C8" w:rsidRDefault="008744C0" w:rsidP="008744C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73"/>
      </w:tblGrid>
      <w:tr w:rsidR="008744C0" w:rsidRPr="00400752" w:rsidTr="003E70FB">
        <w:tc>
          <w:tcPr>
            <w:tcW w:w="10173" w:type="dxa"/>
            <w:shd w:val="clear" w:color="auto" w:fill="auto"/>
          </w:tcPr>
          <w:p w:rsidR="008744C0" w:rsidRPr="00400752" w:rsidRDefault="008744C0" w:rsidP="002409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0752">
              <w:rPr>
                <w:rFonts w:ascii="Times New Roman" w:hAnsi="Times New Roman"/>
                <w:b/>
                <w:sz w:val="24"/>
                <w:szCs w:val="24"/>
              </w:rPr>
              <w:t>Декларация о рисках, связанных с заключением договоров, являющихся производными финансовыми инструментами</w:t>
            </w:r>
          </w:p>
          <w:p w:rsidR="008744C0" w:rsidRPr="00400752" w:rsidRDefault="008744C0" w:rsidP="0024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8744C0" w:rsidRPr="00400752" w:rsidRDefault="008744C0" w:rsidP="00ED2DE3">
            <w:pPr>
              <w:spacing w:after="0" w:line="36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>Цель настоящей декларации — предоставить Вам информацию об основных рисках, связанных с договорами, являющимися производными финансовыми инструментами.</w:t>
            </w:r>
          </w:p>
          <w:p w:rsidR="008744C0" w:rsidRPr="00400752" w:rsidRDefault="008744C0" w:rsidP="00ED2DE3">
            <w:pPr>
              <w:spacing w:after="0" w:line="36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 xml:space="preserve">Данные инструменты (фьючерсы, форварды, опционы, свопы и др.) подходят не всем клиентам, поскольку сопряжены с дополнительными рисками. Более того, некоторые виды стратегий с производными финансовыми инструментами (например, необеспеченная продажа опционных контрактов) сопряжены с большим уровнем риска, чем другие. </w:t>
            </w:r>
          </w:p>
          <w:p w:rsidR="008744C0" w:rsidRPr="00400752" w:rsidRDefault="008744C0" w:rsidP="00ED2DE3">
            <w:pPr>
              <w:spacing w:after="0" w:line="36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 xml:space="preserve">Настоящая декларация относится также и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операциям, связанным с использованием 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производны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финансовы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инструмент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в целях хеджирования, то есть 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снижени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рисков других операций на фондовом рынке. </w:t>
            </w:r>
          </w:p>
          <w:p w:rsidR="008744C0" w:rsidRPr="00400752" w:rsidRDefault="008744C0" w:rsidP="00ED2DE3">
            <w:pPr>
              <w:spacing w:after="0" w:line="36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4C0" w:rsidRPr="00400752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. Риски финансового «плеча»</w:t>
            </w:r>
          </w:p>
          <w:p w:rsidR="008744C0" w:rsidRPr="00400752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 xml:space="preserve">Для того, чтобы открыть позицию по производному финансовому инструменту Вам необходимо иметь только часть стоимости соответствующего контракта (гарантийное обеспечение), а не всю сумму целиком. При этом возникает «эффект плеча», который увеличивает как </w:t>
            </w:r>
            <w:r>
              <w:rPr>
                <w:rFonts w:ascii="Times New Roman" w:hAnsi="Times New Roman"/>
                <w:sz w:val="24"/>
                <w:szCs w:val="24"/>
              </w:rPr>
              <w:t>возможный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доход, так и возможные убытки.</w:t>
            </w:r>
          </w:p>
          <w:p w:rsidR="008744C0" w:rsidRPr="00400752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>Клиринговая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брокер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ограничива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т риски </w:t>
            </w:r>
            <w:r>
              <w:rPr>
                <w:rFonts w:ascii="Times New Roman" w:hAnsi="Times New Roman"/>
                <w:sz w:val="24"/>
                <w:szCs w:val="24"/>
              </w:rPr>
              <w:t>инвесторов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по производным финансовым инструментам, в том числе регулируя «плечо» — рассчитывая размер гарантийного обеспечения, однако даже в пределах этих ограничений Вы должны учитывать, что величина убытков в случае неблагоприятного изменения цен тем больше, чем больше «плечо».</w:t>
            </w:r>
          </w:p>
          <w:p w:rsidR="008744C0" w:rsidRPr="00400752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 xml:space="preserve">Имущество (часть имущества), принадлежащее Вам,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заключения договоров, являющихся производными финансовыми инструментами, 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будет являться обеспечением исполнения обязательств по договор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и распоряжение им, то есть возможность совершения Вами сделок с ним, будет ограничено. Размер обеспечения изменяется в зависимости от изменения рыночных цен на </w:t>
            </w:r>
            <w:r>
              <w:rPr>
                <w:rFonts w:ascii="Times New Roman" w:hAnsi="Times New Roman"/>
                <w:sz w:val="24"/>
                <w:szCs w:val="24"/>
              </w:rPr>
              <w:t>базовые активы производных финансовых инструментов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, в результате Вы можете быть ограничены в возможности распоряжаться Вашим имуществом в большей степени, чем </w:t>
            </w:r>
            <w:r>
              <w:rPr>
                <w:rFonts w:ascii="Times New Roman" w:hAnsi="Times New Roman"/>
                <w:sz w:val="24"/>
                <w:szCs w:val="24"/>
              </w:rPr>
              <w:t>в момент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заключения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>, являющегося производным финансовым инструментом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4C0" w:rsidRPr="00400752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4C0" w:rsidRPr="00400752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. Риск принудительного закрытия позиции </w:t>
            </w:r>
          </w:p>
          <w:p w:rsidR="008744C0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>Клиринговые организации и брокеры должны управлять рисками и в некоторых случаях могут потребовать внести дополнительные денежные средства чтобы повысить уровень обеспечения, что должно быть сделано в короткий срок, который может быть недостаточен для Вас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4C0" w:rsidRPr="00400752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Нормативные акты, условия договора о брокерском обслуживании или правил клиринга позволяют брокеру или клиринговой организации без Вашего согласия принудительно закрыть позицию. Это может быть сделано по существующим в этот момент, в том числе невыгодным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Вас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ценам и привести к возникновению у Вас убытков.</w:t>
            </w:r>
          </w:p>
          <w:p w:rsidR="008744C0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 xml:space="preserve">Принудительное закрытие позиции может быть вызвано: </w:t>
            </w:r>
          </w:p>
          <w:p w:rsidR="008744C0" w:rsidRPr="00C114C8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4C8">
              <w:rPr>
                <w:rFonts w:ascii="Times New Roman" w:hAnsi="Times New Roman"/>
                <w:sz w:val="24"/>
                <w:szCs w:val="24"/>
              </w:rPr>
              <w:t>изменением значений ставок риска, рассчитываемых клиринговой организацией и (или) используемых брокером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14C8">
              <w:rPr>
                <w:rFonts w:ascii="Times New Roman" w:hAnsi="Times New Roman"/>
                <w:sz w:val="24"/>
                <w:szCs w:val="24"/>
              </w:rPr>
              <w:t xml:space="preserve"> в связи с увеличением волатильности </w:t>
            </w:r>
            <w:r>
              <w:rPr>
                <w:rFonts w:ascii="Times New Roman" w:hAnsi="Times New Roman"/>
                <w:sz w:val="24"/>
                <w:szCs w:val="24"/>
              </w:rPr>
              <w:t>финансовых инструментов;</w:t>
            </w:r>
          </w:p>
          <w:p w:rsidR="008744C0" w:rsidRPr="00C114C8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4C8">
              <w:rPr>
                <w:rFonts w:ascii="Times New Roman" w:hAnsi="Times New Roman"/>
                <w:sz w:val="24"/>
                <w:szCs w:val="24"/>
              </w:rPr>
              <w:t xml:space="preserve">требованиями нормативных актов или внесением брокером или клиринговой организацией в одностороннем порядке изменений в список ценных бумаг, которые могут быть обеспечением </w:t>
            </w:r>
            <w:r>
              <w:rPr>
                <w:rFonts w:ascii="Times New Roman" w:hAnsi="Times New Roman"/>
                <w:sz w:val="24"/>
                <w:szCs w:val="24"/>
              </w:rPr>
              <w:t>исполнения обязательств.</w:t>
            </w:r>
          </w:p>
          <w:p w:rsidR="008744C0" w:rsidRPr="00400752" w:rsidRDefault="008744C0" w:rsidP="00ED2DE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>Во всех этих случаях принудительное закрытие позиции может причинить Вам значительные убытки несмотря на то, что после закрытия позиции изменение цен на финансовые инструменты может принять благоприятное для Вас направление, и Вы получили бы доход, если бы Ваша позиция не была закрыта. Размер указанных убытков при неблагоприятном стечении обстоятельств может превысить стоимость находящихся на Вашем счете активов</w:t>
            </w:r>
            <w:r>
              <w:rPr>
                <w:rFonts w:ascii="Times New Roman" w:hAnsi="Times New Roman"/>
                <w:sz w:val="24"/>
                <w:szCs w:val="24"/>
              </w:rPr>
              <w:t>, что может привести к обязанности уплатить брокеру дополнительные средства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4C0" w:rsidRPr="00400752" w:rsidRDefault="008744C0" w:rsidP="002409AD">
            <w:pPr>
              <w:spacing w:after="0" w:line="360" w:lineRule="auto"/>
              <w:ind w:firstLine="375"/>
              <w:rPr>
                <w:rFonts w:ascii="Times New Roman" w:hAnsi="Times New Roman"/>
                <w:sz w:val="24"/>
                <w:szCs w:val="24"/>
              </w:rPr>
            </w:pPr>
          </w:p>
          <w:p w:rsidR="008744C0" w:rsidRPr="00400752" w:rsidRDefault="008744C0" w:rsidP="002409AD">
            <w:pPr>
              <w:spacing w:after="0" w:line="360" w:lineRule="auto"/>
              <w:ind w:firstLine="375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. Риск ликвидности </w:t>
            </w:r>
          </w:p>
          <w:p w:rsidR="008744C0" w:rsidRPr="00400752" w:rsidRDefault="008744C0" w:rsidP="00B4511C">
            <w:pPr>
              <w:pBdr>
                <w:top w:val="dashSmallGap" w:sz="4" w:space="1" w:color="auto"/>
                <w:left w:val="dashSmallGap" w:sz="4" w:space="4" w:color="auto"/>
                <w:bottom w:val="dashSmallGap" w:sz="4" w:space="1" w:color="auto"/>
                <w:right w:val="dashSmallGap" w:sz="4" w:space="4" w:color="auto"/>
              </w:pBdr>
              <w:spacing w:after="0" w:line="360" w:lineRule="auto"/>
              <w:ind w:firstLine="375"/>
              <w:rPr>
                <w:rFonts w:ascii="Times New Roman" w:hAnsi="Times New Roman"/>
                <w:sz w:val="24"/>
                <w:szCs w:val="24"/>
              </w:rPr>
            </w:pPr>
          </w:p>
          <w:p w:rsidR="008744C0" w:rsidRPr="00400752" w:rsidRDefault="008744C0" w:rsidP="00B4511C">
            <w:pPr>
              <w:pBdr>
                <w:top w:val="dashSmallGap" w:sz="4" w:space="1" w:color="auto"/>
                <w:left w:val="dashSmallGap" w:sz="4" w:space="4" w:color="auto"/>
                <w:bottom w:val="dashSmallGap" w:sz="4" w:space="1" w:color="auto"/>
                <w:right w:val="dashSmallGap" w:sz="4" w:space="4" w:color="auto"/>
              </w:pBdr>
              <w:spacing w:after="0" w:line="360" w:lineRule="auto"/>
              <w:ind w:firstLine="375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 xml:space="preserve">Трудности с закрытием позиций и потери в цене могут привести к </w:t>
            </w:r>
            <w:r>
              <w:rPr>
                <w:rFonts w:ascii="Times New Roman" w:hAnsi="Times New Roman"/>
                <w:sz w:val="24"/>
                <w:szCs w:val="24"/>
              </w:rPr>
              <w:t>более высоким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убытк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операций с 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производны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финансовы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инструмент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по сравнению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убытками от 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обычны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 сдел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44C0" w:rsidRPr="00400752" w:rsidRDefault="00ED2DE3" w:rsidP="00B4511C">
            <w:pPr>
              <w:pBdr>
                <w:top w:val="dashSmallGap" w:sz="4" w:space="1" w:color="auto"/>
                <w:left w:val="dashSmallGap" w:sz="4" w:space="4" w:color="auto"/>
                <w:bottom w:val="dashSmallGap" w:sz="4" w:space="1" w:color="auto"/>
                <w:right w:val="dashSmallGap" w:sz="4" w:space="4" w:color="auto"/>
              </w:pBdr>
              <w:spacing w:after="100" w:afterAutospacing="1" w:line="360" w:lineRule="auto"/>
              <w:ind w:firstLine="3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8744C0" w:rsidRPr="00400752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8744C0" w:rsidRPr="00400752" w:rsidRDefault="008744C0" w:rsidP="00B4511C">
            <w:pPr>
              <w:pBdr>
                <w:top w:val="dashSmallGap" w:sz="4" w:space="1" w:color="auto"/>
                <w:left w:val="dashSmallGap" w:sz="4" w:space="4" w:color="auto"/>
                <w:bottom w:val="dashSmallGap" w:sz="4" w:space="1" w:color="auto"/>
                <w:right w:val="dashSmallGap" w:sz="4" w:space="4" w:color="auto"/>
              </w:pBdr>
              <w:spacing w:after="0" w:line="360" w:lineRule="auto"/>
              <w:ind w:firstLine="375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 xml:space="preserve">Учитывая вышеизложенное, мы рекомендуем Вам внимательно рассмотреть вопрос о том, являются ли риски, возникающие при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заключении договоров, являющихся производными финансовыми инструментами</w:t>
            </w:r>
            <w:r w:rsidRPr="00400752">
              <w:rPr>
                <w:rFonts w:ascii="Times New Roman" w:hAnsi="Times New Roman"/>
                <w:sz w:val="24"/>
                <w:szCs w:val="24"/>
              </w:rPr>
              <w:t>, приемлемыми для Вас с учетом Ваших инвестиционных целей и финансовых возможностей. Данная декларация не имеет своей целью заставить Вас отказаться от осуществления таких операций,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брокером.</w:t>
            </w:r>
          </w:p>
          <w:p w:rsidR="008744C0" w:rsidRPr="00400752" w:rsidRDefault="008744C0" w:rsidP="00B4511C">
            <w:pPr>
              <w:pBdr>
                <w:top w:val="dashSmallGap" w:sz="4" w:space="1" w:color="auto"/>
                <w:left w:val="dashSmallGap" w:sz="4" w:space="4" w:color="auto"/>
                <w:bottom w:val="dashSmallGap" w:sz="4" w:space="1" w:color="auto"/>
                <w:right w:val="dashSmallGap" w:sz="4" w:space="4" w:color="auto"/>
              </w:pBdr>
              <w:spacing w:after="100" w:afterAutospacing="1" w:line="360" w:lineRule="auto"/>
              <w:ind w:firstLine="375"/>
              <w:rPr>
                <w:rFonts w:ascii="Times New Roman" w:hAnsi="Times New Roman"/>
                <w:sz w:val="24"/>
                <w:szCs w:val="24"/>
              </w:rPr>
            </w:pPr>
            <w:r w:rsidRPr="00400752">
              <w:rPr>
                <w:rFonts w:ascii="Times New Roman" w:hAnsi="Times New Roman"/>
                <w:sz w:val="24"/>
                <w:szCs w:val="24"/>
              </w:rPr>
              <w:t>Убедитесь, что настоящая декларация о рисках понятна Вам, и при необходимости получите разъяснения у Вашего брокера или консультанта, специализирующегося на соответствующих вопросах.</w:t>
            </w:r>
          </w:p>
        </w:tc>
      </w:tr>
    </w:tbl>
    <w:p w:rsidR="008744C0" w:rsidRDefault="008744C0" w:rsidP="008744C0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904"/>
      </w:tblGrid>
      <w:tr w:rsidR="008744C0" w:rsidRPr="00B06B6D" w:rsidTr="002409AD">
        <w:tc>
          <w:tcPr>
            <w:tcW w:w="10065" w:type="dxa"/>
            <w:gridSpan w:val="8"/>
            <w:shd w:val="clear" w:color="auto" w:fill="D5D7D7"/>
            <w:vAlign w:val="center"/>
          </w:tcPr>
          <w:p w:rsidR="008744C0" w:rsidRPr="00B06B6D" w:rsidRDefault="008744C0" w:rsidP="002409A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 Клиента/Представителя Клиента:</w:t>
            </w:r>
          </w:p>
        </w:tc>
      </w:tr>
      <w:tr w:rsidR="008744C0" w:rsidRPr="00B06B6D" w:rsidTr="002409AD">
        <w:tc>
          <w:tcPr>
            <w:tcW w:w="4253" w:type="dxa"/>
            <w:gridSpan w:val="3"/>
            <w:shd w:val="clear" w:color="auto" w:fill="auto"/>
            <w:vAlign w:val="bottom"/>
          </w:tcPr>
          <w:p w:rsidR="008744C0" w:rsidRPr="00B06B6D" w:rsidRDefault="008744C0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Дата подписания: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44C0" w:rsidRPr="00B06B6D" w:rsidTr="002409AD">
        <w:tc>
          <w:tcPr>
            <w:tcW w:w="4253" w:type="dxa"/>
            <w:gridSpan w:val="3"/>
            <w:shd w:val="clear" w:color="auto" w:fill="auto"/>
            <w:vAlign w:val="bottom"/>
          </w:tcPr>
          <w:p w:rsidR="008744C0" w:rsidRPr="00B06B6D" w:rsidRDefault="008744C0" w:rsidP="002409AD">
            <w:pPr>
              <w:keepNext/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44C0" w:rsidRPr="00B06B6D" w:rsidTr="002409AD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8744C0" w:rsidRPr="00B06B6D" w:rsidRDefault="008744C0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 xml:space="preserve"> (заполняется собственноручно без сокращений):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44C0" w:rsidRPr="00B06B6D" w:rsidTr="002409AD">
        <w:tc>
          <w:tcPr>
            <w:tcW w:w="10065" w:type="dxa"/>
            <w:gridSpan w:val="8"/>
            <w:shd w:val="clear" w:color="auto" w:fill="auto"/>
            <w:vAlign w:val="bottom"/>
          </w:tcPr>
          <w:p w:rsidR="008744C0" w:rsidRPr="00B06B6D" w:rsidRDefault="008744C0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Основание полномочий Представителя Клиента, подписавшего Информационный документ от имени Клиента:</w:t>
            </w:r>
          </w:p>
        </w:tc>
      </w:tr>
      <w:tr w:rsidR="008744C0" w:rsidRPr="00B06B6D" w:rsidTr="002409AD">
        <w:tc>
          <w:tcPr>
            <w:tcW w:w="10065" w:type="dxa"/>
            <w:gridSpan w:val="8"/>
            <w:shd w:val="clear" w:color="auto" w:fill="auto"/>
            <w:vAlign w:val="bottom"/>
          </w:tcPr>
          <w:p w:rsidR="008744C0" w:rsidRPr="00B06B6D" w:rsidRDefault="008744C0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44C0" w:rsidRPr="00B06B6D" w:rsidTr="002409AD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744C0" w:rsidRPr="00B06B6D" w:rsidTr="002409AD">
        <w:trPr>
          <w:trHeight w:val="201"/>
        </w:trPr>
        <w:tc>
          <w:tcPr>
            <w:tcW w:w="1006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744C0" w:rsidRPr="00B06B6D" w:rsidRDefault="008744C0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6B6D">
              <w:rPr>
                <w:rFonts w:ascii="Times New Roman" w:eastAsia="Times New Roman" w:hAnsi="Times New Roman"/>
                <w:sz w:val="16"/>
                <w:szCs w:val="16"/>
              </w:rPr>
              <w:t>(наименование документа, его номер, дата и срок действия)</w:t>
            </w:r>
          </w:p>
        </w:tc>
      </w:tr>
    </w:tbl>
    <w:p w:rsidR="008744C0" w:rsidRDefault="008744C0" w:rsidP="008744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4511C" w:rsidRDefault="00B4511C" w:rsidP="008744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4511C" w:rsidRDefault="00B4511C" w:rsidP="008744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4511C" w:rsidRDefault="00B4511C" w:rsidP="008744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D2DE3" w:rsidRDefault="00ED2D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E3B32">
        <w:rPr>
          <w:rFonts w:ascii="Times New Roman" w:hAnsi="Times New Roman"/>
          <w:b/>
          <w:sz w:val="24"/>
          <w:szCs w:val="24"/>
        </w:rPr>
        <w:t>Декларация о рисках, связанных с приобретением иностранных ценных бумаг</w:t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Цель настоящей декларации – предоставить Вам информацию об основных рисках, связанных с приобретением иностранных ценных бумаг. Учитывая большое разнообразие стран и подходов, используемых при регулировании и функционировании финансовых рынков, эти риски отличаются большим разнообразием. Операциям с иностранными ценными бумагами присущи общие риски, связанные с операциями на рынке ценных бумаг со следующими особенностями.</w:t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  <w:lang w:val="en-US"/>
        </w:rPr>
        <w:t>I</w:t>
      </w:r>
      <w:r w:rsidRPr="00DE3B32">
        <w:rPr>
          <w:rFonts w:ascii="Times New Roman" w:hAnsi="Times New Roman"/>
          <w:sz w:val="24"/>
          <w:szCs w:val="24"/>
        </w:rPr>
        <w:t>. Системные риски</w:t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Иностранные ценные бумаги подвержены системным рискам стран, где они выпущены или обращаются. 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стран, к которым относятся такие ценные бумаги.</w:t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  <w:lang w:val="en-US"/>
        </w:rPr>
        <w:t>II</w:t>
      </w:r>
      <w:r w:rsidRPr="00DE3B32">
        <w:rPr>
          <w:rFonts w:ascii="Times New Roman" w:hAnsi="Times New Roman"/>
          <w:sz w:val="24"/>
          <w:szCs w:val="24"/>
        </w:rPr>
        <w:t>. Валютные риски</w:t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Поскольку иностранные ценные бумаги номинированы в иностранной валюте, сделки с ними рассчитываются и доходы по ним выплачиваются в иностранной валют</w:t>
      </w:r>
      <w:r>
        <w:rPr>
          <w:rFonts w:ascii="Times New Roman" w:hAnsi="Times New Roman"/>
          <w:sz w:val="24"/>
          <w:szCs w:val="24"/>
        </w:rPr>
        <w:t>е</w:t>
      </w:r>
      <w:r w:rsidRPr="00DE3B32">
        <w:rPr>
          <w:rFonts w:ascii="Times New Roman" w:hAnsi="Times New Roman"/>
          <w:sz w:val="24"/>
          <w:szCs w:val="24"/>
        </w:rPr>
        <w:t>, операции с ними подвержены валютному риску. При неблагоприятном изменении курса иностранной валюты по отношению к российскому рублю Вы можете потерять часть дохода, а также понести убытки по иностранным ценным бумагам в сравнении с аналогичными российскими финансовыми инструментами, выраженными в рублях.</w:t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II</w:t>
      </w:r>
      <w:r w:rsidRPr="00DE3B32">
        <w:rPr>
          <w:rFonts w:ascii="Times New Roman" w:hAnsi="Times New Roman"/>
          <w:sz w:val="24"/>
          <w:szCs w:val="24"/>
          <w:lang w:val="en-US"/>
        </w:rPr>
        <w:t>I</w:t>
      </w:r>
      <w:r w:rsidRPr="00DE3B32">
        <w:rPr>
          <w:rFonts w:ascii="Times New Roman" w:hAnsi="Times New Roman"/>
          <w:sz w:val="24"/>
          <w:szCs w:val="24"/>
        </w:rPr>
        <w:t>. Правовые риски</w:t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331DCE">
      <w:pPr>
        <w:pStyle w:val="af1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Риск ограничения операций с иностранными ценными бумагами</w:t>
      </w: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331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В настоящее время законодательство разрешает российским инвесторам, в том числе не являющимся квалифицированными, приобретение иностранных ценных бумаг как за рубежом, так и в России, а также позволяет вести учет прав на такие ценные бумаги российским депозитариям. Между тем, существуют риски изменения регулятивных подходов к владению и операциям, а также к учету прав на иностранные финансовые инструменты, в результате чего может возникнуть необходимость по их отчуждению вопреки Вашим планам.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2. Санкционные риски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 xml:space="preserve">В настоящее время в отношении ряда российских юридических лиц и граждан Российской Федерации США, странами Европейского союза и иными недружественными государствами введены санкции, затрагивающие операции на финансовом рынке, в том числе блокировка активов (иностранных ценных бумаг) </w:t>
      </w:r>
      <w:r>
        <w:rPr>
          <w:rFonts w:ascii="Times New Roman" w:hAnsi="Times New Roman"/>
          <w:sz w:val="24"/>
          <w:szCs w:val="24"/>
        </w:rPr>
        <w:t xml:space="preserve">российских </w:t>
      </w:r>
      <w:r w:rsidRPr="00DE3B32">
        <w:rPr>
          <w:rFonts w:ascii="Times New Roman" w:hAnsi="Times New Roman"/>
          <w:sz w:val="24"/>
          <w:szCs w:val="24"/>
        </w:rPr>
        <w:t>инвесторов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E3B32">
        <w:rPr>
          <w:rFonts w:ascii="Times New Roman" w:hAnsi="Times New Roman"/>
          <w:sz w:val="24"/>
          <w:szCs w:val="24"/>
        </w:rPr>
        <w:t xml:space="preserve">Велика вероятность дальнейшего расширения списка подсанкционных лиц и перечня санкционных мероприятий, в результате которых Вы не только не сможете заключать сделки с иностранными ценными бумагами (в том числе, иностранными ценными бумагами, эмитентами которых являются резиденты дружественных государств), но и распоряжаться принадлежащим Вам имуществом, в том числе, </w:t>
      </w:r>
      <w:r>
        <w:rPr>
          <w:rFonts w:ascii="Times New Roman" w:hAnsi="Times New Roman"/>
          <w:sz w:val="24"/>
          <w:szCs w:val="24"/>
        </w:rPr>
        <w:t>осуществлять</w:t>
      </w:r>
      <w:r w:rsidRPr="00DE3B32">
        <w:rPr>
          <w:rFonts w:ascii="Times New Roman" w:hAnsi="Times New Roman"/>
          <w:sz w:val="24"/>
          <w:szCs w:val="24"/>
        </w:rPr>
        <w:t xml:space="preserve"> права по ценным бумагам.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3. Различия в регулировании ценных бумаг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 xml:space="preserve">При приобретении иностранных ценных бумаг необходимо отдавать себе отчет в том, что они не всегда являются аналогами российских ценных бумаг, 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DE3B32">
        <w:rPr>
          <w:rFonts w:ascii="Times New Roman" w:hAnsi="Times New Roman"/>
          <w:sz w:val="24"/>
          <w:szCs w:val="24"/>
        </w:rPr>
        <w:t>предоставляемые по ним права и правила их осуществления могут существенно отличаться от прав по российским ценным бумагам.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Существенным отличием являются также правила учета прав на ценные бумаги и возможности их защиты в случаях банкротства, учитывающего их финансового института.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4. Различия в раскрытии информации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Оцените свою готовность анализировать информацию, раскрываемую на иностранном языке. Правила раскрытия информации в отношении иностранных ценных бумаг – объем и периодичность могут отличаться от правил, действующих в России. Оцените также то, понимаете ли Вы отличия между принятыми в России правилами финансовой отчетности, Международными стандартами финансовой отчетности или правилами финансовой отчетности, по которым публикуется информация эмитентом иностранных ценных бумаг.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Российские организаторы торговли и (или) брокеры могут осуществлять перевод некоторых документов (информации), раскрываемых иностранным эмитентом</w:t>
      </w:r>
      <w:r>
        <w:rPr>
          <w:rFonts w:ascii="Times New Roman" w:hAnsi="Times New Roman"/>
          <w:sz w:val="24"/>
          <w:szCs w:val="24"/>
        </w:rPr>
        <w:t>,</w:t>
      </w:r>
      <w:r w:rsidRPr="00DE3B32">
        <w:rPr>
          <w:rFonts w:ascii="Times New Roman" w:hAnsi="Times New Roman"/>
          <w:sz w:val="24"/>
          <w:szCs w:val="24"/>
        </w:rPr>
        <w:t xml:space="preserve"> для Вашего удобства. В этом случае перевод </w:t>
      </w:r>
      <w:r>
        <w:rPr>
          <w:rFonts w:ascii="Times New Roman" w:hAnsi="Times New Roman"/>
          <w:sz w:val="24"/>
          <w:szCs w:val="24"/>
        </w:rPr>
        <w:t>должен</w:t>
      </w:r>
      <w:r w:rsidRPr="00DE3B32">
        <w:rPr>
          <w:rFonts w:ascii="Times New Roman" w:hAnsi="Times New Roman"/>
          <w:sz w:val="24"/>
          <w:szCs w:val="24"/>
        </w:rPr>
        <w:t xml:space="preserve"> восприниматься исключительно как вспомогательная информация к официально раскрытым документам (информации) на иностранном языке. Всегда учитывайте вероятность ошибок переводчика, в том числе, связанных с возможным различным переводом одних и тех же иностранных слов и фраз или отсутствием общепринятого русского эквивалента.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5. Защита прав в иностранным суде и правоохранительных органах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Возможности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правилам, которые могут существенно отличаться от действующих в России. При операциях с иностранными ценными бумагами Вы, в большинстве случаев, не сможете полагаться на защиту своих прав и законных интересов российскими уполномоченными органами.</w:t>
      </w: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511C" w:rsidRPr="00DE3B32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>***</w:t>
      </w:r>
    </w:p>
    <w:p w:rsidR="00335E31" w:rsidRDefault="00B4511C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B32">
        <w:rPr>
          <w:rFonts w:ascii="Times New Roman" w:hAnsi="Times New Roman"/>
          <w:sz w:val="24"/>
          <w:szCs w:val="24"/>
        </w:rPr>
        <w:t xml:space="preserve">Учитывая вышеизложенное, мы рекомендуем Вам внимательно рассмотреть вопрос о том, являются ли риски, возникающие при </w:t>
      </w:r>
      <w:r>
        <w:rPr>
          <w:rFonts w:ascii="Times New Roman" w:hAnsi="Times New Roman"/>
          <w:sz w:val="24"/>
          <w:szCs w:val="24"/>
        </w:rPr>
        <w:t>приобретении иностранных ценных бумаг</w:t>
      </w:r>
      <w:r w:rsidRPr="00DE3B32">
        <w:rPr>
          <w:rFonts w:ascii="Times New Roman" w:hAnsi="Times New Roman"/>
          <w:sz w:val="24"/>
          <w:szCs w:val="24"/>
        </w:rPr>
        <w:t>, приемлемыми для Вас с учетом Ваших инвестиционных целей и финансовых возможностей. Данная декларация не имеет своей целью заставить Вас отказаться от осуществления таких операций,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брокером.</w:t>
      </w:r>
      <w:r>
        <w:rPr>
          <w:rFonts w:ascii="Times New Roman" w:hAnsi="Times New Roman"/>
          <w:sz w:val="24"/>
          <w:szCs w:val="24"/>
        </w:rPr>
        <w:tab/>
      </w:r>
    </w:p>
    <w:p w:rsidR="001973BF" w:rsidRDefault="001973BF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73BF" w:rsidRDefault="001973BF" w:rsidP="008058B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904"/>
      </w:tblGrid>
      <w:tr w:rsidR="001973BF" w:rsidRPr="00B06B6D" w:rsidTr="002409AD">
        <w:tc>
          <w:tcPr>
            <w:tcW w:w="10065" w:type="dxa"/>
            <w:gridSpan w:val="8"/>
            <w:shd w:val="clear" w:color="auto" w:fill="D5D7D7"/>
            <w:vAlign w:val="center"/>
          </w:tcPr>
          <w:p w:rsidR="001973BF" w:rsidRPr="00B06B6D" w:rsidRDefault="001973BF" w:rsidP="002409A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 Клиента/Представителя Клиента:</w:t>
            </w:r>
          </w:p>
        </w:tc>
      </w:tr>
      <w:tr w:rsidR="001973BF" w:rsidRPr="00B06B6D" w:rsidTr="002409AD">
        <w:tc>
          <w:tcPr>
            <w:tcW w:w="4253" w:type="dxa"/>
            <w:gridSpan w:val="3"/>
            <w:shd w:val="clear" w:color="auto" w:fill="auto"/>
            <w:vAlign w:val="bottom"/>
          </w:tcPr>
          <w:p w:rsidR="001973BF" w:rsidRPr="00B06B6D" w:rsidRDefault="001973BF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Дата подписания: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73BF" w:rsidRPr="00B06B6D" w:rsidTr="002409AD">
        <w:tc>
          <w:tcPr>
            <w:tcW w:w="4253" w:type="dxa"/>
            <w:gridSpan w:val="3"/>
            <w:shd w:val="clear" w:color="auto" w:fill="auto"/>
            <w:vAlign w:val="bottom"/>
          </w:tcPr>
          <w:p w:rsidR="001973BF" w:rsidRPr="00B06B6D" w:rsidRDefault="001973BF" w:rsidP="002409AD">
            <w:pPr>
              <w:keepNext/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before="120"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73BF" w:rsidRPr="00B06B6D" w:rsidTr="002409AD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1973BF" w:rsidRPr="00B06B6D" w:rsidRDefault="001973BF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 xml:space="preserve"> (заполняется собственноручно без сокращений):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73BF" w:rsidRPr="00B06B6D" w:rsidTr="002409AD">
        <w:tc>
          <w:tcPr>
            <w:tcW w:w="10065" w:type="dxa"/>
            <w:gridSpan w:val="8"/>
            <w:shd w:val="clear" w:color="auto" w:fill="auto"/>
            <w:vAlign w:val="bottom"/>
          </w:tcPr>
          <w:p w:rsidR="001973BF" w:rsidRPr="00B06B6D" w:rsidRDefault="001973BF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Основание полномочий Представителя Клиента, подписавшего Информационный документ от имени Клиента:</w:t>
            </w:r>
          </w:p>
        </w:tc>
      </w:tr>
      <w:tr w:rsidR="001973BF" w:rsidRPr="00B06B6D" w:rsidTr="002409AD">
        <w:tc>
          <w:tcPr>
            <w:tcW w:w="10065" w:type="dxa"/>
            <w:gridSpan w:val="8"/>
            <w:shd w:val="clear" w:color="auto" w:fill="auto"/>
            <w:vAlign w:val="bottom"/>
          </w:tcPr>
          <w:p w:rsidR="001973BF" w:rsidRPr="00B06B6D" w:rsidRDefault="001973BF" w:rsidP="002409A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73BF" w:rsidRPr="00B06B6D" w:rsidTr="002409AD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73BF" w:rsidRPr="00B06B6D" w:rsidTr="002409AD">
        <w:trPr>
          <w:trHeight w:val="201"/>
        </w:trPr>
        <w:tc>
          <w:tcPr>
            <w:tcW w:w="10065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973BF" w:rsidRPr="00B06B6D" w:rsidRDefault="001973BF" w:rsidP="002409A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6B6D">
              <w:rPr>
                <w:rFonts w:ascii="Times New Roman" w:eastAsia="Times New Roman" w:hAnsi="Times New Roman"/>
                <w:sz w:val="16"/>
                <w:szCs w:val="16"/>
              </w:rPr>
              <w:t>(наименование документа, его номер, дата и срок действия)</w:t>
            </w:r>
          </w:p>
        </w:tc>
      </w:tr>
    </w:tbl>
    <w:p w:rsidR="001973BF" w:rsidRDefault="001973BF" w:rsidP="001973BF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sectPr w:rsidR="001973BF" w:rsidSect="00A2725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709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8F" w:rsidRDefault="00ED2B8F" w:rsidP="00ED2B8F">
      <w:pPr>
        <w:spacing w:after="0" w:line="240" w:lineRule="auto"/>
      </w:pPr>
      <w:r>
        <w:separator/>
      </w:r>
    </w:p>
  </w:endnote>
  <w:endnote w:type="continuationSeparator" w:id="0">
    <w:p w:rsidR="00ED2B8F" w:rsidRDefault="00ED2B8F" w:rsidP="00ED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89" w:rsidRDefault="00A2725F" w:rsidP="00CB5189">
    <w:pPr>
      <w:pStyle w:val="a7"/>
      <w:rPr>
        <w:rFonts w:ascii="Times New Roman" w:hAnsi="Times New Roman"/>
        <w:sz w:val="20"/>
        <w:szCs w:val="20"/>
      </w:rPr>
    </w:pPr>
  </w:p>
  <w:p w:rsidR="004B2711" w:rsidRPr="00F02C87" w:rsidRDefault="004B2711" w:rsidP="004B2711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6892F7C8" wp14:editId="6938A4DF">
          <wp:extent cx="133350" cy="133350"/>
          <wp:effectExtent l="19050" t="0" r="0" b="0"/>
          <wp:docPr id="18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A2725F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3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A2725F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  <w:p w:rsidR="00CB5189" w:rsidRDefault="00A272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87" w:rsidRPr="00F02C87" w:rsidRDefault="00ED2B8F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33D46782" wp14:editId="7693C263">
          <wp:extent cx="133350" cy="133350"/>
          <wp:effectExtent l="19050" t="0" r="0" b="0"/>
          <wp:docPr id="20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A2725F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A2725F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8F" w:rsidRDefault="00ED2B8F" w:rsidP="00ED2B8F">
      <w:pPr>
        <w:spacing w:after="0" w:line="240" w:lineRule="auto"/>
      </w:pPr>
      <w:r>
        <w:separator/>
      </w:r>
    </w:p>
  </w:footnote>
  <w:footnote w:type="continuationSeparator" w:id="0">
    <w:p w:rsidR="00ED2B8F" w:rsidRDefault="00ED2B8F" w:rsidP="00ED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61480C" w:rsidRPr="006220C7" w:rsidTr="007077C1">
      <w:tc>
        <w:tcPr>
          <w:tcW w:w="5852" w:type="dxa"/>
        </w:tcPr>
        <w:p w:rsidR="0061480C" w:rsidRDefault="00ED2B8F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0A64505B" wp14:editId="456B6A48">
                <wp:extent cx="1451306" cy="321869"/>
                <wp:effectExtent l="19050" t="0" r="0" b="0"/>
                <wp:docPr id="17" name="Рисунок 17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80C" w:rsidRPr="007077C1" w:rsidRDefault="00A2725F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61480C" w:rsidRPr="006220C7" w:rsidRDefault="00ED2B8F" w:rsidP="00335E31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6220C7">
            <w:rPr>
              <w:rFonts w:ascii="Times New Roman" w:hAnsi="Times New Roman"/>
              <w:szCs w:val="18"/>
            </w:rPr>
            <w:t xml:space="preserve">Приложение № </w:t>
          </w:r>
          <w:r w:rsidR="00335E31">
            <w:rPr>
              <w:rFonts w:ascii="Times New Roman" w:hAnsi="Times New Roman"/>
              <w:szCs w:val="18"/>
            </w:rPr>
            <w:t>9</w:t>
          </w:r>
          <w:r w:rsidRPr="006220C7">
            <w:rPr>
              <w:rFonts w:ascii="Times New Roman" w:hAnsi="Times New Roman"/>
              <w:szCs w:val="18"/>
            </w:rPr>
            <w:br/>
            <w:t>к Договору на брокерское обслуживание</w:t>
          </w:r>
          <w:r w:rsidRPr="006220C7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61480C" w:rsidRPr="007077C1" w:rsidRDefault="00A2725F" w:rsidP="007077C1">
    <w:pPr>
      <w:pStyle w:val="a5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05" w:rsidRDefault="008B6505"/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987623" w:rsidRPr="008B3C3D" w:rsidTr="00AF28FE">
      <w:tc>
        <w:tcPr>
          <w:tcW w:w="5852" w:type="dxa"/>
        </w:tcPr>
        <w:p w:rsidR="00987623" w:rsidRDefault="00ED2B8F" w:rsidP="00AF28FE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D33EE6A" wp14:editId="3C4E33FF">
                <wp:extent cx="1451306" cy="321869"/>
                <wp:effectExtent l="19050" t="0" r="0" b="0"/>
                <wp:docPr id="19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7623" w:rsidRPr="007077C1" w:rsidRDefault="00A2725F" w:rsidP="00AF28FE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987623" w:rsidRPr="008B3C3D" w:rsidRDefault="00ED2B8F" w:rsidP="008B6505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8B6505">
            <w:rPr>
              <w:rFonts w:ascii="Times New Roman" w:hAnsi="Times New Roman"/>
              <w:szCs w:val="18"/>
            </w:rPr>
            <w:t>9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9B5692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987623" w:rsidRDefault="00A2725F" w:rsidP="009876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0C1D"/>
    <w:multiLevelType w:val="hybridMultilevel"/>
    <w:tmpl w:val="806E66CE"/>
    <w:lvl w:ilvl="0" w:tplc="789A37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3D7"/>
    <w:multiLevelType w:val="hybridMultilevel"/>
    <w:tmpl w:val="883E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31C1"/>
    <w:multiLevelType w:val="hybridMultilevel"/>
    <w:tmpl w:val="15EC61F4"/>
    <w:lvl w:ilvl="0" w:tplc="BA5E3502">
      <w:numFmt w:val="bullet"/>
      <w:lvlText w:val=""/>
      <w:lvlJc w:val="left"/>
      <w:pPr>
        <w:ind w:left="9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49C0084F"/>
    <w:multiLevelType w:val="hybridMultilevel"/>
    <w:tmpl w:val="DD22FCD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CC27F05"/>
    <w:multiLevelType w:val="multilevel"/>
    <w:tmpl w:val="A426B1D6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3" w:hanging="425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−"/>
      <w:lvlJc w:val="left"/>
      <w:pPr>
        <w:ind w:left="1122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EC40195"/>
    <w:multiLevelType w:val="hybridMultilevel"/>
    <w:tmpl w:val="6108F370"/>
    <w:lvl w:ilvl="0" w:tplc="5434B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F"/>
    <w:rsid w:val="00000A3E"/>
    <w:rsid w:val="00005CA1"/>
    <w:rsid w:val="0003799E"/>
    <w:rsid w:val="000A6AB6"/>
    <w:rsid w:val="0012040A"/>
    <w:rsid w:val="00127270"/>
    <w:rsid w:val="00195D74"/>
    <w:rsid w:val="001973BF"/>
    <w:rsid w:val="002245DA"/>
    <w:rsid w:val="00261919"/>
    <w:rsid w:val="00266ECB"/>
    <w:rsid w:val="002B7C40"/>
    <w:rsid w:val="00331DCE"/>
    <w:rsid w:val="00335E31"/>
    <w:rsid w:val="00361287"/>
    <w:rsid w:val="0037562F"/>
    <w:rsid w:val="003D45FB"/>
    <w:rsid w:val="003E70FB"/>
    <w:rsid w:val="00466B01"/>
    <w:rsid w:val="004B2711"/>
    <w:rsid w:val="0064134F"/>
    <w:rsid w:val="006448EE"/>
    <w:rsid w:val="006D5143"/>
    <w:rsid w:val="006E01FF"/>
    <w:rsid w:val="007A6192"/>
    <w:rsid w:val="00804EB7"/>
    <w:rsid w:val="008058B8"/>
    <w:rsid w:val="00851853"/>
    <w:rsid w:val="00851EBF"/>
    <w:rsid w:val="0086787A"/>
    <w:rsid w:val="008744C0"/>
    <w:rsid w:val="008A5745"/>
    <w:rsid w:val="008B6505"/>
    <w:rsid w:val="008D6AED"/>
    <w:rsid w:val="00980BC6"/>
    <w:rsid w:val="009B5692"/>
    <w:rsid w:val="00A2725F"/>
    <w:rsid w:val="00A310C3"/>
    <w:rsid w:val="00B06B6D"/>
    <w:rsid w:val="00B07E17"/>
    <w:rsid w:val="00B4511C"/>
    <w:rsid w:val="00C32BCD"/>
    <w:rsid w:val="00CE3CEF"/>
    <w:rsid w:val="00E210A9"/>
    <w:rsid w:val="00E27D01"/>
    <w:rsid w:val="00E37F5F"/>
    <w:rsid w:val="00E42437"/>
    <w:rsid w:val="00ED2B8F"/>
    <w:rsid w:val="00ED2DE3"/>
    <w:rsid w:val="00F34506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9482D2-3F48-42A7-A6E5-EAE343A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B8F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ED2B8F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ED2B8F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ED2B8F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ED2B8F"/>
    <w:rPr>
      <w:b/>
      <w:bCs/>
    </w:rPr>
  </w:style>
  <w:style w:type="paragraph" w:customStyle="1" w:styleId="05">
    <w:name w:val="05 ТЕКСТ СОГЛАСИЯ"/>
    <w:link w:val="050"/>
    <w:qFormat/>
    <w:rsid w:val="00ED2B8F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ED2B8F"/>
    <w:rPr>
      <w:rFonts w:ascii="Arial" w:eastAsia="Calibri" w:hAnsi="Arial" w:cs="Arial"/>
      <w:sz w:val="16"/>
    </w:rPr>
  </w:style>
  <w:style w:type="table" w:styleId="a4">
    <w:name w:val="Table Grid"/>
    <w:basedOn w:val="a1"/>
    <w:uiPriority w:val="59"/>
    <w:rsid w:val="00ED2B8F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ED2B8F"/>
    <w:pPr>
      <w:ind w:left="0" w:right="0"/>
    </w:pPr>
  </w:style>
  <w:style w:type="paragraph" w:customStyle="1" w:styleId="06">
    <w:name w:val="06 ТАБЛИЦА В ТЕКСТЕ"/>
    <w:link w:val="060"/>
    <w:qFormat/>
    <w:rsid w:val="00ED2B8F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ED2B8F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B8F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B8F"/>
    <w:rPr>
      <w:rFonts w:ascii="Tahoma" w:eastAsia="Calibri" w:hAnsi="Tahoma" w:cs="Times New Roman"/>
    </w:rPr>
  </w:style>
  <w:style w:type="character" w:styleId="a9">
    <w:name w:val="annotation reference"/>
    <w:basedOn w:val="a0"/>
    <w:uiPriority w:val="99"/>
    <w:semiHidden/>
    <w:unhideWhenUsed/>
    <w:rsid w:val="00ED2B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B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ED2B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D2B8F"/>
    <w:rPr>
      <w:rFonts w:ascii="Tahoma" w:eastAsia="Calibri" w:hAnsi="Tahoma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B8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05CA1"/>
    <w:pPr>
      <w:spacing w:after="0" w:line="240" w:lineRule="auto"/>
    </w:pPr>
    <w:rPr>
      <w:rFonts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CA1"/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04EB7"/>
    <w:pPr>
      <w:ind w:left="720"/>
      <w:contextualSpacing/>
    </w:p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4B2711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4B2711"/>
    <w:rPr>
      <w:rFonts w:ascii="Tahoma" w:eastAsia="Calibri" w:hAnsi="Tahoma" w:cs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F62E5D"/>
    <w:rPr>
      <w:color w:val="0000FF" w:themeColor="hyperlink"/>
      <w:u w:val="single"/>
    </w:rPr>
  </w:style>
  <w:style w:type="paragraph" w:customStyle="1" w:styleId="Default">
    <w:name w:val="Default"/>
    <w:rsid w:val="0086787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Мидзяновская Ольга Викторовна</cp:lastModifiedBy>
  <cp:revision>51</cp:revision>
  <cp:lastPrinted>2025-10-22T09:36:00Z</cp:lastPrinted>
  <dcterms:created xsi:type="dcterms:W3CDTF">2023-09-15T10:14:00Z</dcterms:created>
  <dcterms:modified xsi:type="dcterms:W3CDTF">2025-10-22T09:36:00Z</dcterms:modified>
</cp:coreProperties>
</file>